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53" w:rsidRPr="00335126" w:rsidRDefault="002A3C53" w:rsidP="002A3C53">
      <w:pPr>
        <w:jc w:val="center"/>
      </w:pPr>
      <w:bookmarkStart w:id="0" w:name="_GoBack"/>
      <w:bookmarkEnd w:id="0"/>
      <w:r>
        <w:t xml:space="preserve">   </w:t>
      </w:r>
      <w:r w:rsidR="00F467C5">
        <w:t>Испытательная лаборатория ОГБУ «Липецкая облветлаборатория»</w:t>
      </w:r>
    </w:p>
    <w:p w:rsidR="002A3C53" w:rsidRDefault="002A3C53" w:rsidP="002A3C53">
      <w:pPr>
        <w:pStyle w:val="1"/>
        <w:jc w:val="center"/>
        <w:rPr>
          <w:b/>
        </w:rPr>
      </w:pPr>
    </w:p>
    <w:p w:rsidR="00815E85" w:rsidRDefault="00815E85" w:rsidP="00815E85">
      <w:pPr>
        <w:pStyle w:val="1"/>
        <w:jc w:val="center"/>
        <w:rPr>
          <w:b/>
        </w:rPr>
      </w:pPr>
    </w:p>
    <w:p w:rsidR="00815E85" w:rsidRDefault="00815E85" w:rsidP="00815E85">
      <w:pPr>
        <w:pStyle w:val="1"/>
        <w:jc w:val="center"/>
        <w:rPr>
          <w:b/>
          <w:sz w:val="28"/>
        </w:rPr>
      </w:pPr>
      <w:r>
        <w:rPr>
          <w:b/>
          <w:sz w:val="28"/>
        </w:rPr>
        <w:t xml:space="preserve">Порядок предоставления заключения о соответствии, </w:t>
      </w:r>
    </w:p>
    <w:p w:rsidR="00815E85" w:rsidRDefault="00815E85" w:rsidP="00815E85">
      <w:pPr>
        <w:pStyle w:val="1"/>
        <w:jc w:val="center"/>
        <w:rPr>
          <w:b/>
          <w:sz w:val="28"/>
        </w:rPr>
      </w:pPr>
      <w:r>
        <w:rPr>
          <w:b/>
          <w:sz w:val="28"/>
        </w:rPr>
        <w:t>правила принятия решения о соответствии/несоответствии</w:t>
      </w:r>
    </w:p>
    <w:p w:rsidR="00815E85" w:rsidRDefault="00815E85" w:rsidP="00815E85">
      <w:pPr>
        <w:pStyle w:val="1"/>
        <w:jc w:val="center"/>
        <w:rPr>
          <w:b/>
          <w:bCs/>
          <w:sz w:val="28"/>
        </w:rPr>
      </w:pPr>
      <w:r>
        <w:rPr>
          <w:b/>
          <w:sz w:val="28"/>
        </w:rPr>
        <w:t xml:space="preserve"> исследуемого образца требованиям НД и их применение</w:t>
      </w:r>
    </w:p>
    <w:p w:rsidR="00815E85" w:rsidRDefault="00815E85" w:rsidP="00815E85">
      <w:pPr>
        <w:pStyle w:val="1"/>
      </w:pPr>
    </w:p>
    <w:p w:rsidR="00815E85" w:rsidRDefault="00815E85" w:rsidP="00815E85">
      <w:pPr>
        <w:pStyle w:val="1"/>
        <w:jc w:val="both"/>
      </w:pPr>
      <w:r>
        <w:t>1.  Испытательная лаборатория (ИЛ) ОГБУ «Липецкая облветлаборатория» при предоставлении заключения о соответствии в протоколе испытания или результате  исследований по экспертизе  ИЛ может использовать  один из вариантов:</w:t>
      </w:r>
    </w:p>
    <w:p w:rsidR="00815E85" w:rsidRDefault="00815E85" w:rsidP="00815E85">
      <w:pPr>
        <w:pStyle w:val="1"/>
        <w:jc w:val="both"/>
      </w:pPr>
      <w:r>
        <w:t>а) правила принятия решения,  предоставленные Заказчиком, но не противоречащие требованиям нормативного документа на объект испытания  или  методики испытания,</w:t>
      </w:r>
    </w:p>
    <w:p w:rsidR="00815E85" w:rsidRDefault="00815E85" w:rsidP="00815E85">
      <w:pPr>
        <w:pStyle w:val="1"/>
        <w:jc w:val="both"/>
      </w:pPr>
      <w:r>
        <w:t>б) правила принятия решения о соответствии/несоответствии результата испытания  требованиям нормативной документации,  указанные в  нормативных документах на объект испытания/ в методиках испытания,</w:t>
      </w:r>
    </w:p>
    <w:p w:rsidR="00815E85" w:rsidRDefault="00815E85" w:rsidP="00815E85">
      <w:pPr>
        <w:pStyle w:val="1"/>
        <w:jc w:val="both"/>
      </w:pPr>
      <w:r>
        <w:t>в) правила принятия решения о соответствии/несоответствии результата испытания  требованиям нормативной документации, разработанные  и утвержденные испытательной лабораторией.</w:t>
      </w:r>
    </w:p>
    <w:p w:rsidR="00815E85" w:rsidRDefault="00815E85" w:rsidP="00815E85">
      <w:pPr>
        <w:pStyle w:val="1"/>
        <w:spacing w:before="120"/>
        <w:jc w:val="both"/>
      </w:pPr>
      <w:r>
        <w:t>2. В случае  не предоставления Заказчиком своих правил принятия решения,  ИЛ ОГБУ «Липецкая облветлаборатория»  использует правила принятия решений, указанные  в  нормативных документах на объект испытания/ в методиках испытания, или правила принятия решения, разработанные  и утвержденные испытательной лабораторией;</w:t>
      </w:r>
    </w:p>
    <w:p w:rsidR="00815E85" w:rsidRDefault="00815E85" w:rsidP="00815E85">
      <w:pPr>
        <w:pStyle w:val="1"/>
        <w:jc w:val="both"/>
      </w:pPr>
      <w:r>
        <w:t>3. В ОГБУ «Липецкая облветлаборатория» применяется  бинарное правило принятия решений: соответствует /не соответствует. При принятии решения о соответствии ИЛ действует в соответствии со следующими пунктами:</w:t>
      </w:r>
    </w:p>
    <w:p w:rsidR="00815E85" w:rsidRDefault="00815E85" w:rsidP="00815E85">
      <w:pPr>
        <w:pStyle w:val="1"/>
        <w:jc w:val="both"/>
      </w:pPr>
      <w:r>
        <w:t>В случае  выбора правил принятия решения, разработанных  и утвержденных испытательной лабораторией ОГБУ «Липецкая облветлаборатория», ИЛ действует в соответствии со следующими пунктами:</w:t>
      </w:r>
    </w:p>
    <w:p w:rsidR="00815E85" w:rsidRDefault="00815E85" w:rsidP="00815E85">
      <w:pPr>
        <w:pStyle w:val="1"/>
        <w:jc w:val="both"/>
      </w:pPr>
      <w:r>
        <w:t xml:space="preserve">     1)Методиками количественного анализа предусмотрен расчет погрешности или неопределенности измерений. Значение неопределенности/погрешности измерений представляется в тех же единицах, что и измеряемая величина и указывается в протоколе испытаний.</w:t>
      </w:r>
    </w:p>
    <w:p w:rsidR="00815E85" w:rsidRDefault="00815E85" w:rsidP="00815E85">
      <w:pPr>
        <w:pStyle w:val="1"/>
        <w:ind w:left="283"/>
        <w:jc w:val="both"/>
      </w:pPr>
      <w:r>
        <w:t xml:space="preserve">2) Если в методике испытаний отсутствует расчет погрешности/неопределенности, то ИЛ </w:t>
      </w:r>
    </w:p>
    <w:p w:rsidR="00815E85" w:rsidRDefault="00815E85" w:rsidP="00815E85">
      <w:pPr>
        <w:pStyle w:val="1"/>
        <w:jc w:val="both"/>
      </w:pPr>
      <w:r>
        <w:t>допускается устанавливать собственную неопределенность измерений (при внедрении методики), использовать ее в качестве опорного значения при контроле качества результатов испытаний   и указывать ее в протоколе испытаний;</w:t>
      </w:r>
    </w:p>
    <w:p w:rsidR="00815E85" w:rsidRDefault="00815E85" w:rsidP="00815E85">
      <w:pPr>
        <w:pStyle w:val="1"/>
        <w:jc w:val="both"/>
      </w:pPr>
      <w:r>
        <w:t xml:space="preserve">     3) если окончательный результат испытаний оказывается больше, чем верхняя граница или ниже, чем нижняя граница диапазона определения, то неопределенность/погрешность не рассчитывается,  дается   односторонняя оценка результата измерения  (более или менее соответственного числового значения верхней или нижней  границы диапазона методики определения). В этом случае в протоколе испытаний или результате исследований  по экспертизе указывается результат «выше верхнего диапазона определения» «ниже нижнего диапазона определения», а в графе неопределенность/погрешность  ставится прочерк;</w:t>
      </w:r>
    </w:p>
    <w:p w:rsidR="00815E85" w:rsidRDefault="00815E85" w:rsidP="00815E85">
      <w:pPr>
        <w:tabs>
          <w:tab w:val="left" w:pos="360"/>
        </w:tabs>
        <w:suppressAutoHyphens w:val="0"/>
        <w:jc w:val="both"/>
      </w:pPr>
      <w:r>
        <w:t xml:space="preserve">     4) Для расчета предела принятия (</w:t>
      </w:r>
      <w:r>
        <w:rPr>
          <w:lang w:val="en-US"/>
        </w:rPr>
        <w:t>AL</w:t>
      </w:r>
      <w:r>
        <w:t xml:space="preserve">) результата исследования количественной методики, должны быть известны погрешность или неопределенность измерения  и  предел допуска - </w:t>
      </w:r>
      <w:r>
        <w:rPr>
          <w:lang w:val="en-US"/>
        </w:rPr>
        <w:t>TL</w:t>
      </w:r>
      <w:r>
        <w:t xml:space="preserve"> (норма по НД), тогда расчет предела принятия производится в соответствии с ILAC-G8:09/2019 </w:t>
      </w:r>
    </w:p>
    <w:p w:rsidR="00815E85" w:rsidRDefault="00815E85" w:rsidP="00815E85">
      <w:pPr>
        <w:tabs>
          <w:tab w:val="left" w:pos="360"/>
        </w:tabs>
        <w:suppressAutoHyphens w:val="0"/>
        <w:jc w:val="both"/>
      </w:pPr>
      <w:r>
        <w:t>5) Если нет предела допуска (</w:t>
      </w:r>
      <w:r>
        <w:rPr>
          <w:lang w:val="en-US"/>
        </w:rPr>
        <w:t>TL</w:t>
      </w:r>
      <w:r>
        <w:t>), то заключение о соответствии выдать невозможно.</w:t>
      </w:r>
    </w:p>
    <w:p w:rsidR="00815E85" w:rsidRDefault="00815E85" w:rsidP="00815E85">
      <w:pPr>
        <w:pStyle w:val="1"/>
        <w:jc w:val="both"/>
      </w:pPr>
      <w:r>
        <w:lastRenderedPageBreak/>
        <w:t xml:space="preserve">6) Если по какой-либо причине нет погрешности /неопределенности, то решение о соответствии принимается методом </w:t>
      </w:r>
      <w:r>
        <w:rPr>
          <w:i/>
        </w:rPr>
        <w:t>простого принятия</w:t>
      </w:r>
      <w:r>
        <w:t>:</w:t>
      </w:r>
    </w:p>
    <w:p w:rsidR="00815E85" w:rsidRDefault="00815E85" w:rsidP="00815E85">
      <w:pPr>
        <w:pStyle w:val="1"/>
        <w:ind w:left="283"/>
        <w:jc w:val="both"/>
      </w:pPr>
      <w:r>
        <w:t>- если измеренное значение находится в пределах допустимых значений (нормы) – в заключении о соответствии  указывается «соответствует»;</w:t>
      </w:r>
    </w:p>
    <w:p w:rsidR="00815E85" w:rsidRDefault="00815E85" w:rsidP="00815E85">
      <w:pPr>
        <w:pStyle w:val="1"/>
        <w:ind w:left="283"/>
        <w:jc w:val="both"/>
      </w:pPr>
      <w:r>
        <w:t>- если измеренное значение  выходит за пределы допустимых значений (выше/ниже нормы)- в заключении о соответствии  указывается «не соответствует».</w:t>
      </w:r>
    </w:p>
    <w:p w:rsidR="00815E85" w:rsidRDefault="00815E85" w:rsidP="00815E85">
      <w:pPr>
        <w:tabs>
          <w:tab w:val="left" w:pos="360"/>
        </w:tabs>
        <w:suppressAutoHyphens w:val="0"/>
        <w:jc w:val="both"/>
      </w:pPr>
      <w:r>
        <w:t xml:space="preserve">7) Если предел допуска задан в виде диапазона, то сначала рассчитываются </w:t>
      </w:r>
      <w:r>
        <w:rPr>
          <w:i/>
        </w:rPr>
        <w:t xml:space="preserve">абсолютные пределы принятия в диапазоне. </w:t>
      </w:r>
      <w:r>
        <w:t>Если результат измерения находится в этих границах, то он однозначно соответствует норме по НД.</w:t>
      </w:r>
    </w:p>
    <w:p w:rsidR="00815E85" w:rsidRDefault="00815E85" w:rsidP="00815E85">
      <w:pPr>
        <w:tabs>
          <w:tab w:val="left" w:pos="360"/>
        </w:tabs>
        <w:suppressAutoHyphens w:val="0"/>
        <w:jc w:val="both"/>
        <w:rPr>
          <w:rFonts w:ascii="Arial" w:hAnsi="Arial" w:cs="Arial"/>
        </w:rPr>
      </w:pPr>
      <w:r>
        <w:t xml:space="preserve">8) Если результат выходит за границы диапазона принятия, то в зависимости от того, куда он смещается ниже или выше, рассчитывается только </w:t>
      </w:r>
      <w:r>
        <w:rPr>
          <w:i/>
        </w:rPr>
        <w:t xml:space="preserve">нижняя граница принятия как </w:t>
      </w:r>
      <w:r>
        <w:t>«не менее»</w:t>
      </w:r>
      <w:r>
        <w:rPr>
          <w:rFonts w:ascii="Arial" w:hAnsi="Arial" w:cs="Arial"/>
        </w:rPr>
        <w:t xml:space="preserve">; </w:t>
      </w:r>
      <w:r>
        <w:t>или</w:t>
      </w:r>
      <w:r>
        <w:rPr>
          <w:rFonts w:ascii="Arial" w:hAnsi="Arial" w:cs="Arial"/>
        </w:rPr>
        <w:t xml:space="preserve"> </w:t>
      </w:r>
      <w:r>
        <w:t xml:space="preserve">только </w:t>
      </w:r>
      <w:r>
        <w:rPr>
          <w:i/>
        </w:rPr>
        <w:t xml:space="preserve">верхняя граница принятия как </w:t>
      </w:r>
      <w:r>
        <w:t>«не более».</w:t>
      </w:r>
    </w:p>
    <w:p w:rsidR="00815E85" w:rsidRDefault="00815E85" w:rsidP="00815E85">
      <w:pPr>
        <w:tabs>
          <w:tab w:val="left" w:pos="360"/>
        </w:tabs>
        <w:suppressAutoHyphens w:val="0"/>
        <w:jc w:val="both"/>
      </w:pPr>
      <w:r>
        <w:t xml:space="preserve">9) Если норматив показателя предусмотрен в виде выражения «не допускается», то результат указывается в виде выражения «не обнаружено (в пределах обнаружения метода определения)» или «обнаружено (с указанием числового значения соответствующего результату измерения)». </w:t>
      </w:r>
    </w:p>
    <w:p w:rsidR="00815E85" w:rsidRDefault="00815E85" w:rsidP="00815E85">
      <w:pPr>
        <w:tabs>
          <w:tab w:val="left" w:pos="360"/>
        </w:tabs>
        <w:suppressAutoHyphens w:val="0"/>
        <w:jc w:val="both"/>
      </w:pPr>
      <w:r>
        <w:tab/>
        <w:t xml:space="preserve">При выдачи заключения о соответствии в случае «не обнаружено (в пределах обнаружения метода определения)» указывается – «соответствует».  При выдачи заключения о соответствии в случае получения количественного результата испытания </w:t>
      </w:r>
      <w:r>
        <w:rPr>
          <w:i/>
        </w:rPr>
        <w:t xml:space="preserve">рассчитывается предел принятия </w:t>
      </w:r>
      <w:r>
        <w:t>как для нормы «не более»</w:t>
      </w:r>
      <w:r>
        <w:rPr>
          <w:rFonts w:ascii="Arial" w:hAnsi="Arial" w:cs="Arial"/>
        </w:rPr>
        <w:t>.</w:t>
      </w:r>
    </w:p>
    <w:p w:rsidR="00815E85" w:rsidRDefault="00815E85" w:rsidP="00815E85">
      <w:pPr>
        <w:pStyle w:val="1"/>
        <w:jc w:val="both"/>
      </w:pPr>
      <w:r>
        <w:t xml:space="preserve">10) При качественных испытаниях неопределенность/погрешность не рассчитывается, а в табличной части протокола испытаний или результата исследований  по экспертизе   проставляется прочерк; </w:t>
      </w:r>
    </w:p>
    <w:p w:rsidR="00815E85" w:rsidRDefault="00815E85" w:rsidP="00815E85">
      <w:pPr>
        <w:pStyle w:val="1"/>
        <w:jc w:val="both"/>
      </w:pPr>
      <w:r>
        <w:t xml:space="preserve">11) Если в соответствии с НД на метод испытания или в соответствии с погрешностью прибора  погрешность/неопределенность  превышает результат испытания, то предел принятия не рассчитывается и выдается заключение без учета погрешности/ неопределенности в соответствии с правилами простого принятия решений: </w:t>
      </w:r>
    </w:p>
    <w:p w:rsidR="00815E85" w:rsidRDefault="00815E85" w:rsidP="00815E85">
      <w:pPr>
        <w:pStyle w:val="1"/>
        <w:jc w:val="both"/>
      </w:pPr>
      <w:r>
        <w:t>- если измеренное значение находится в пределах допустимых значений (нормы) – в заключении о соответствии  указывается «соответствует»;</w:t>
      </w:r>
    </w:p>
    <w:p w:rsidR="00815E85" w:rsidRDefault="00815E85" w:rsidP="00815E85">
      <w:pPr>
        <w:pStyle w:val="1"/>
        <w:jc w:val="both"/>
      </w:pPr>
      <w:r>
        <w:t xml:space="preserve"> - если измеренное значение  выходит за пределы допустимых значений (выше/ниже нормы)- в заключении о соответствии  указывается «не соответствует».</w:t>
      </w:r>
    </w:p>
    <w:p w:rsidR="002A3C53" w:rsidRDefault="002A3C53" w:rsidP="002A3C53">
      <w:pPr>
        <w:ind w:left="-180"/>
        <w:jc w:val="right"/>
        <w:rPr>
          <w:b/>
        </w:rPr>
      </w:pPr>
    </w:p>
    <w:p w:rsidR="002A3C53" w:rsidRDefault="00815E85" w:rsidP="002A3C53">
      <w:pPr>
        <w:ind w:left="-180"/>
        <w:jc w:val="right"/>
        <w:rPr>
          <w:b/>
        </w:rPr>
      </w:pPr>
      <w:r>
        <w:rPr>
          <w:b/>
        </w:rPr>
        <w:t>_______________________________________________________________________________</w:t>
      </w:r>
    </w:p>
    <w:p w:rsidR="002A3C53" w:rsidRDefault="002A3C53" w:rsidP="002A3C53">
      <w:pPr>
        <w:ind w:left="-180"/>
        <w:jc w:val="right"/>
        <w:rPr>
          <w:b/>
        </w:rPr>
      </w:pPr>
    </w:p>
    <w:p w:rsidR="002A3C53" w:rsidRDefault="002A3C53" w:rsidP="002A3C53">
      <w:pPr>
        <w:ind w:left="-180"/>
        <w:jc w:val="right"/>
        <w:rPr>
          <w:b/>
        </w:rPr>
      </w:pPr>
    </w:p>
    <w:p w:rsidR="002A3C53" w:rsidRDefault="002A3C53" w:rsidP="002A3C53">
      <w:pPr>
        <w:ind w:left="-180"/>
        <w:jc w:val="right"/>
        <w:rPr>
          <w:b/>
        </w:rPr>
      </w:pPr>
    </w:p>
    <w:p w:rsidR="0016266A" w:rsidRDefault="0016266A"/>
    <w:sectPr w:rsidR="001626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35" w:rsidRDefault="007D2035" w:rsidP="002A3C53">
      <w:r>
        <w:separator/>
      </w:r>
    </w:p>
  </w:endnote>
  <w:endnote w:type="continuationSeparator" w:id="0">
    <w:p w:rsidR="007D2035" w:rsidRDefault="007D2035" w:rsidP="002A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35" w:rsidRDefault="007D2035" w:rsidP="002A3C53">
      <w:r>
        <w:separator/>
      </w:r>
    </w:p>
  </w:footnote>
  <w:footnote w:type="continuationSeparator" w:id="0">
    <w:p w:rsidR="007D2035" w:rsidRDefault="007D2035" w:rsidP="002A3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53" w:rsidRPr="002A3C53" w:rsidRDefault="002A3C53" w:rsidP="002A3C53">
    <w:pPr>
      <w:jc w:val="right"/>
      <w:rPr>
        <w:sz w:val="20"/>
      </w:rPr>
    </w:pPr>
    <w:r w:rsidRPr="002A3C53">
      <w:rPr>
        <w:sz w:val="20"/>
      </w:rPr>
      <w:t>Ф-01-СТО-2.030.01-2021</w:t>
    </w:r>
  </w:p>
  <w:p w:rsidR="002A3C53" w:rsidRDefault="002A3C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F"/>
    <w:rsid w:val="00136399"/>
    <w:rsid w:val="0016266A"/>
    <w:rsid w:val="001B0C1A"/>
    <w:rsid w:val="002A3C53"/>
    <w:rsid w:val="00466FEF"/>
    <w:rsid w:val="004C0C54"/>
    <w:rsid w:val="005D194C"/>
    <w:rsid w:val="007D2035"/>
    <w:rsid w:val="00807A10"/>
    <w:rsid w:val="00815E85"/>
    <w:rsid w:val="00856F9A"/>
    <w:rsid w:val="00C975A3"/>
    <w:rsid w:val="00D80903"/>
    <w:rsid w:val="00DF289C"/>
    <w:rsid w:val="00E2131C"/>
    <w:rsid w:val="00E27132"/>
    <w:rsid w:val="00F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2A3C53"/>
  </w:style>
  <w:style w:type="table" w:styleId="a3">
    <w:name w:val="Table Grid"/>
    <w:basedOn w:val="a1"/>
    <w:uiPriority w:val="59"/>
    <w:rsid w:val="002A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A3C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C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A3C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C5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2A3C53"/>
  </w:style>
  <w:style w:type="table" w:styleId="a3">
    <w:name w:val="Table Grid"/>
    <w:basedOn w:val="a1"/>
    <w:uiPriority w:val="59"/>
    <w:rsid w:val="002A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A3C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C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A3C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C5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Мацут</dc:creator>
  <cp:lastModifiedBy>Юлия</cp:lastModifiedBy>
  <cp:revision>2</cp:revision>
  <dcterms:created xsi:type="dcterms:W3CDTF">2021-08-13T12:02:00Z</dcterms:created>
  <dcterms:modified xsi:type="dcterms:W3CDTF">2021-08-13T12:02:00Z</dcterms:modified>
</cp:coreProperties>
</file>